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C373D" w14:textId="1D8F2FA0" w:rsidR="002E3949" w:rsidRPr="00B5229A" w:rsidRDefault="002E3949" w:rsidP="00172280">
      <w:pPr>
        <w:jc w:val="center"/>
        <w:rPr>
          <w:b/>
          <w:bCs/>
        </w:rPr>
      </w:pPr>
      <w:r w:rsidRPr="00B5229A">
        <w:rPr>
          <w:b/>
          <w:bCs/>
        </w:rPr>
        <w:t xml:space="preserve">The </w:t>
      </w:r>
      <w:proofErr w:type="spellStart"/>
      <w:r w:rsidRPr="00B5229A">
        <w:rPr>
          <w:b/>
          <w:bCs/>
        </w:rPr>
        <w:t>WarwickPlace</w:t>
      </w:r>
      <w:proofErr w:type="spellEnd"/>
      <w:r w:rsidRPr="00B5229A">
        <w:rPr>
          <w:b/>
          <w:bCs/>
        </w:rPr>
        <w:t xml:space="preserve"> Legal </w:t>
      </w:r>
      <w:r w:rsidR="00483AC7" w:rsidRPr="00B5229A">
        <w:rPr>
          <w:b/>
          <w:bCs/>
        </w:rPr>
        <w:t>Global</w:t>
      </w:r>
      <w:r w:rsidRPr="00B5229A">
        <w:rPr>
          <w:b/>
          <w:bCs/>
        </w:rPr>
        <w:t xml:space="preserve"> Expansion Index</w:t>
      </w:r>
    </w:p>
    <w:p w14:paraId="63EDE77F" w14:textId="18ADB0FC" w:rsidR="002E3949" w:rsidRPr="00B5229A" w:rsidRDefault="002E3949" w:rsidP="00172280">
      <w:pPr>
        <w:jc w:val="center"/>
        <w:rPr>
          <w:b/>
          <w:bCs/>
        </w:rPr>
      </w:pPr>
      <w:r w:rsidRPr="00B5229A">
        <w:rPr>
          <w:b/>
          <w:bCs/>
        </w:rPr>
        <w:t>202</w:t>
      </w:r>
      <w:r w:rsidR="00CE75E4" w:rsidRPr="00B5229A">
        <w:rPr>
          <w:b/>
          <w:bCs/>
        </w:rPr>
        <w:t>2</w:t>
      </w:r>
    </w:p>
    <w:p w14:paraId="71D5CF50" w14:textId="3111DE74" w:rsidR="00BD79B3" w:rsidRDefault="00BD79B3" w:rsidP="002E3949">
      <w:pPr>
        <w:jc w:val="center"/>
      </w:pPr>
    </w:p>
    <w:p w14:paraId="159DE6A5" w14:textId="77777777" w:rsidR="00F62D69" w:rsidRDefault="00F62D69" w:rsidP="00C44412">
      <w:pPr>
        <w:jc w:val="both"/>
      </w:pPr>
    </w:p>
    <w:p w14:paraId="07E3D066" w14:textId="77777777" w:rsidR="00BF71BB" w:rsidRDefault="00BF71BB" w:rsidP="00C44412">
      <w:pPr>
        <w:jc w:val="both"/>
      </w:pPr>
    </w:p>
    <w:p w14:paraId="2F3042EC" w14:textId="77777777" w:rsidR="00BF71BB" w:rsidRDefault="00BF71BB" w:rsidP="00C44412">
      <w:pPr>
        <w:jc w:val="both"/>
      </w:pPr>
    </w:p>
    <w:p w14:paraId="2D018C21" w14:textId="49BE9393" w:rsidR="00F62D69" w:rsidRDefault="00AB3C76" w:rsidP="00C44412">
      <w:pPr>
        <w:jc w:val="both"/>
      </w:pPr>
      <w:r>
        <w:t xml:space="preserve">The </w:t>
      </w:r>
      <w:proofErr w:type="spellStart"/>
      <w:r>
        <w:t>WarwickPlace</w:t>
      </w:r>
      <w:proofErr w:type="spellEnd"/>
      <w:r>
        <w:t xml:space="preserve"> Legal </w:t>
      </w:r>
      <w:r w:rsidR="00483AC7">
        <w:t>Global</w:t>
      </w:r>
      <w:r>
        <w:t xml:space="preserve"> Expansion </w:t>
      </w:r>
      <w:r w:rsidR="004E3D80">
        <w:t>I</w:t>
      </w:r>
      <w:r>
        <w:t>ndex</w:t>
      </w:r>
      <w:r w:rsidRPr="00AB3C76">
        <w:t xml:space="preserve"> </w:t>
      </w:r>
      <w:r>
        <w:t xml:space="preserve">for the </w:t>
      </w:r>
      <w:r w:rsidR="00E95E8B">
        <w:t xml:space="preserve">past </w:t>
      </w:r>
      <w:r w:rsidR="00A54081">
        <w:t>year</w:t>
      </w:r>
      <w:r>
        <w:t xml:space="preserve"> shows</w:t>
      </w:r>
      <w:r w:rsidR="00F82588">
        <w:t xml:space="preserve"> that </w:t>
      </w:r>
      <w:r w:rsidR="00E95E8B">
        <w:t>law firms have continued to take advantage of strategic opportunities in foreign jurisdictions, with new market entries around the globe</w:t>
      </w:r>
      <w:r>
        <w:t>.</w:t>
      </w:r>
      <w:r w:rsidR="00203D4B">
        <w:rPr>
          <w:rStyle w:val="FootnoteReference"/>
        </w:rPr>
        <w:footnoteReference w:id="1"/>
      </w:r>
      <w:r>
        <w:t xml:space="preserve">  </w:t>
      </w:r>
      <w:r w:rsidR="007B5C19">
        <w:t xml:space="preserve">The </w:t>
      </w:r>
      <w:r w:rsidR="004E3D80">
        <w:t>great majority of new openings was in</w:t>
      </w:r>
      <w:r w:rsidR="007B5C19">
        <w:t xml:space="preserve"> </w:t>
      </w:r>
      <w:r w:rsidR="0044375F">
        <w:t>Europe</w:t>
      </w:r>
      <w:r w:rsidR="00F62D69">
        <w:t xml:space="preserve">, with </w:t>
      </w:r>
      <w:r w:rsidR="00B071F2">
        <w:t>Dublin and</w:t>
      </w:r>
      <w:r w:rsidR="004E3D80">
        <w:t xml:space="preserve"> </w:t>
      </w:r>
      <w:r w:rsidR="00C44412">
        <w:t>Luxembourg</w:t>
      </w:r>
      <w:r w:rsidR="00B071F2">
        <w:t xml:space="preserve"> </w:t>
      </w:r>
      <w:r w:rsidR="0044375F">
        <w:t>domina</w:t>
      </w:r>
      <w:r w:rsidR="00F62D69">
        <w:t>nt</w:t>
      </w:r>
      <w:r w:rsidR="0044375F">
        <w:t xml:space="preserve"> as </w:t>
      </w:r>
      <w:r w:rsidR="00A06963">
        <w:t xml:space="preserve">new </w:t>
      </w:r>
      <w:r w:rsidR="0044375F">
        <w:t>destinations</w:t>
      </w:r>
      <w:r w:rsidR="00C44412">
        <w:t>.</w:t>
      </w:r>
      <w:r w:rsidR="00BF71BB">
        <w:t xml:space="preserve">  (Continuing the trend, K&amp;L Gates just kicked off the new year with a Dublin office opening.) </w:t>
      </w:r>
      <w:r w:rsidR="00C44412">
        <w:t xml:space="preserve">  </w:t>
      </w:r>
    </w:p>
    <w:p w14:paraId="401B093C" w14:textId="1A0BF984" w:rsidR="00F62D69" w:rsidRDefault="00F62D69" w:rsidP="00C44412">
      <w:pPr>
        <w:jc w:val="both"/>
      </w:pPr>
    </w:p>
    <w:p w14:paraId="586FF440" w14:textId="7618DE3B" w:rsidR="00F62D69" w:rsidRDefault="00F62D69" w:rsidP="00C44412">
      <w:pPr>
        <w:jc w:val="both"/>
      </w:pPr>
      <w:r w:rsidRPr="00F62D69">
        <w:rPr>
          <w:noProof/>
        </w:rPr>
        <w:drawing>
          <wp:inline distT="0" distB="0" distL="0" distR="0" wp14:anchorId="3312625D" wp14:editId="27738BAA">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7700"/>
                    </a:xfrm>
                    <a:prstGeom prst="rect">
                      <a:avLst/>
                    </a:prstGeom>
                  </pic:spPr>
                </pic:pic>
              </a:graphicData>
            </a:graphic>
          </wp:inline>
        </w:drawing>
      </w:r>
    </w:p>
    <w:p w14:paraId="6A52A1AA" w14:textId="7F10D816" w:rsidR="00F62D69" w:rsidRDefault="00F62D69" w:rsidP="00C44412">
      <w:pPr>
        <w:jc w:val="both"/>
      </w:pPr>
    </w:p>
    <w:p w14:paraId="5868EA9B" w14:textId="375068AF" w:rsidR="00F62D69" w:rsidRDefault="00F62D69" w:rsidP="00C44412">
      <w:pPr>
        <w:jc w:val="both"/>
      </w:pPr>
    </w:p>
    <w:p w14:paraId="38AF4356" w14:textId="77777777" w:rsidR="00BF71BB" w:rsidRDefault="00BF71BB" w:rsidP="00C44412">
      <w:pPr>
        <w:jc w:val="both"/>
      </w:pPr>
    </w:p>
    <w:p w14:paraId="2895BAC9" w14:textId="77777777" w:rsidR="00BF71BB" w:rsidRDefault="00BF71BB" w:rsidP="00C44412">
      <w:pPr>
        <w:jc w:val="both"/>
      </w:pPr>
    </w:p>
    <w:p w14:paraId="05F148D3" w14:textId="77777777" w:rsidR="00BF71BB" w:rsidRDefault="00BF71BB" w:rsidP="00C44412">
      <w:pPr>
        <w:jc w:val="both"/>
      </w:pPr>
    </w:p>
    <w:p w14:paraId="22CCDB7E" w14:textId="3BA62124" w:rsidR="00BF71BB" w:rsidRDefault="00BF71BB" w:rsidP="00C44412">
      <w:pPr>
        <w:jc w:val="both"/>
      </w:pPr>
      <w:r>
        <w:t xml:space="preserve">Other interesting new European openings took place in Amsterdam and Copenhagen and </w:t>
      </w:r>
      <w:proofErr w:type="gramStart"/>
      <w:r>
        <w:t>a number of</w:t>
      </w:r>
      <w:proofErr w:type="gramEnd"/>
      <w:r>
        <w:t xml:space="preserve"> East European locations.</w:t>
      </w:r>
    </w:p>
    <w:p w14:paraId="48A631B3" w14:textId="2ACD755F" w:rsidR="00F62D69" w:rsidRDefault="00F62D69" w:rsidP="00C44412">
      <w:pPr>
        <w:jc w:val="both"/>
      </w:pPr>
    </w:p>
    <w:p w14:paraId="271C9315" w14:textId="0E4350BE" w:rsidR="00F62D69" w:rsidRDefault="00F62D69" w:rsidP="00C44412">
      <w:pPr>
        <w:jc w:val="both"/>
      </w:pPr>
    </w:p>
    <w:p w14:paraId="477D40C5" w14:textId="17B258D9" w:rsidR="00F62D69" w:rsidRDefault="00BF71BB" w:rsidP="00C44412">
      <w:pPr>
        <w:jc w:val="both"/>
      </w:pPr>
      <w:r w:rsidRPr="00BF71BB">
        <w:rPr>
          <w:noProof/>
        </w:rPr>
        <w:drawing>
          <wp:inline distT="0" distB="0" distL="0" distR="0" wp14:anchorId="300732A2" wp14:editId="217C9CA3">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7700"/>
                    </a:xfrm>
                    <a:prstGeom prst="rect">
                      <a:avLst/>
                    </a:prstGeom>
                  </pic:spPr>
                </pic:pic>
              </a:graphicData>
            </a:graphic>
          </wp:inline>
        </w:drawing>
      </w:r>
    </w:p>
    <w:p w14:paraId="14780413" w14:textId="77777777" w:rsidR="00BF71BB" w:rsidRDefault="00BF71BB" w:rsidP="00C44412">
      <w:pPr>
        <w:jc w:val="both"/>
      </w:pPr>
    </w:p>
    <w:p w14:paraId="69E601D2" w14:textId="5C67B918" w:rsidR="00BF71BB" w:rsidRDefault="00BF71BB" w:rsidP="00C44412">
      <w:pPr>
        <w:jc w:val="both"/>
      </w:pPr>
      <w:r>
        <w:t xml:space="preserve">Amsterdam will attract new entrants, particularly in the health care and life sciences field, but also in response to the European Directive on Representative Actions and a sophisticated litigation environment.  Denmark appeals to labor and employment practices, but also to shipping and maritime law.  Some of the East European openings may be attributed to bulking up in response to the war in Ukraine. </w:t>
      </w:r>
    </w:p>
    <w:p w14:paraId="4285CCD5" w14:textId="77777777" w:rsidR="00BF71BB" w:rsidRDefault="00BF71BB" w:rsidP="00C44412">
      <w:pPr>
        <w:jc w:val="both"/>
      </w:pPr>
    </w:p>
    <w:p w14:paraId="553D3EA7" w14:textId="77777777" w:rsidR="00BF71BB" w:rsidRDefault="00BF71BB" w:rsidP="00C44412">
      <w:pPr>
        <w:jc w:val="both"/>
      </w:pPr>
    </w:p>
    <w:p w14:paraId="00C42F73" w14:textId="77777777" w:rsidR="00BF71BB" w:rsidRDefault="00BF71BB" w:rsidP="00C44412">
      <w:pPr>
        <w:jc w:val="both"/>
      </w:pPr>
    </w:p>
    <w:p w14:paraId="67911045" w14:textId="77777777" w:rsidR="00BF71BB" w:rsidRDefault="00BF71BB" w:rsidP="00C44412">
      <w:pPr>
        <w:jc w:val="both"/>
      </w:pPr>
    </w:p>
    <w:p w14:paraId="3DF4491B" w14:textId="77777777" w:rsidR="00BF71BB" w:rsidRDefault="00BF71BB" w:rsidP="00C44412">
      <w:pPr>
        <w:jc w:val="both"/>
      </w:pPr>
    </w:p>
    <w:p w14:paraId="64AEF9DE" w14:textId="77777777" w:rsidR="00BF71BB" w:rsidRDefault="00BF71BB" w:rsidP="00C44412">
      <w:pPr>
        <w:jc w:val="both"/>
      </w:pPr>
    </w:p>
    <w:p w14:paraId="5834356E" w14:textId="77777777" w:rsidR="00BF71BB" w:rsidRDefault="00BF71BB" w:rsidP="00C44412">
      <w:pPr>
        <w:jc w:val="both"/>
      </w:pPr>
    </w:p>
    <w:p w14:paraId="299B0519" w14:textId="77777777" w:rsidR="00BF71BB" w:rsidRDefault="00BF71BB" w:rsidP="00C44412">
      <w:pPr>
        <w:jc w:val="both"/>
      </w:pPr>
    </w:p>
    <w:p w14:paraId="3E7A3C8E" w14:textId="77777777" w:rsidR="00BF71BB" w:rsidRDefault="00BF71BB" w:rsidP="00C44412">
      <w:pPr>
        <w:jc w:val="both"/>
      </w:pPr>
    </w:p>
    <w:p w14:paraId="1646F070" w14:textId="77777777" w:rsidR="00BF71BB" w:rsidRDefault="00BF71BB" w:rsidP="00C44412">
      <w:pPr>
        <w:jc w:val="both"/>
      </w:pPr>
    </w:p>
    <w:p w14:paraId="447ABD41" w14:textId="77777777" w:rsidR="00BF71BB" w:rsidRDefault="00BF71BB" w:rsidP="00C44412">
      <w:pPr>
        <w:jc w:val="both"/>
      </w:pPr>
    </w:p>
    <w:p w14:paraId="31A473D0" w14:textId="77777777" w:rsidR="00BF71BB" w:rsidRDefault="00BF71BB" w:rsidP="00C44412">
      <w:pPr>
        <w:jc w:val="both"/>
      </w:pPr>
    </w:p>
    <w:p w14:paraId="32CC1DDE" w14:textId="77777777" w:rsidR="00BF71BB" w:rsidRDefault="00BF71BB" w:rsidP="00C44412">
      <w:pPr>
        <w:jc w:val="both"/>
      </w:pPr>
    </w:p>
    <w:p w14:paraId="554A823D" w14:textId="28CE663A" w:rsidR="00F62D69" w:rsidRDefault="004E3D80" w:rsidP="00C44412">
      <w:pPr>
        <w:jc w:val="both"/>
      </w:pPr>
      <w:r>
        <w:t xml:space="preserve">As the year progressed and the post-pandemic picture became clearer, </w:t>
      </w:r>
      <w:r w:rsidR="00C44412">
        <w:t xml:space="preserve">Asia </w:t>
      </w:r>
      <w:r>
        <w:t>came roaring back</w:t>
      </w:r>
      <w:r w:rsidR="00D9545A">
        <w:t xml:space="preserve">, with </w:t>
      </w:r>
      <w:r>
        <w:t>five new flags</w:t>
      </w:r>
      <w:r w:rsidR="00D9545A">
        <w:t xml:space="preserve"> plan</w:t>
      </w:r>
      <w:r>
        <w:t>ted</w:t>
      </w:r>
      <w:r w:rsidR="00D9545A">
        <w:t xml:space="preserve"> in Singapore</w:t>
      </w:r>
      <w:r>
        <w:t xml:space="preserve">, a new entry in Hong Kong and </w:t>
      </w:r>
      <w:r w:rsidR="00BF71BB">
        <w:t xml:space="preserve">a few </w:t>
      </w:r>
      <w:r>
        <w:t>truly noteworthy development</w:t>
      </w:r>
      <w:r w:rsidR="00F62D69">
        <w:t>s</w:t>
      </w:r>
      <w:r>
        <w:t xml:space="preserve"> in each of Korea, </w:t>
      </w:r>
      <w:proofErr w:type="gramStart"/>
      <w:r>
        <w:t>India</w:t>
      </w:r>
      <w:proofErr w:type="gramEnd"/>
      <w:r>
        <w:t xml:space="preserve"> and the Southeast Asia region as a whole</w:t>
      </w:r>
      <w:r w:rsidR="00D9545A">
        <w:t>.</w:t>
      </w:r>
      <w:r>
        <w:rPr>
          <w:rStyle w:val="FootnoteReference"/>
        </w:rPr>
        <w:footnoteReference w:id="2"/>
      </w:r>
      <w:r w:rsidR="00D9545A">
        <w:t xml:space="preserve">  </w:t>
      </w:r>
      <w:r w:rsidR="00F62D69">
        <w:t>The graph below shows the expansion timeline for the year.</w:t>
      </w:r>
    </w:p>
    <w:p w14:paraId="315B31D2" w14:textId="12930894" w:rsidR="00F62D69" w:rsidRDefault="00F62D69" w:rsidP="00C44412">
      <w:pPr>
        <w:jc w:val="both"/>
      </w:pPr>
    </w:p>
    <w:p w14:paraId="2DBCCD97" w14:textId="77777777" w:rsidR="00F62D69" w:rsidRDefault="00F62D69" w:rsidP="00C44412">
      <w:pPr>
        <w:jc w:val="both"/>
      </w:pPr>
    </w:p>
    <w:p w14:paraId="5A9A744C" w14:textId="71AC9F6F" w:rsidR="00A06963" w:rsidRDefault="00F62D69" w:rsidP="00C44412">
      <w:pPr>
        <w:jc w:val="both"/>
      </w:pPr>
      <w:r>
        <w:t xml:space="preserve"> </w:t>
      </w:r>
      <w:r w:rsidR="004E3D80">
        <w:t xml:space="preserve"> </w:t>
      </w:r>
      <w:r w:rsidRPr="00F62D69">
        <w:rPr>
          <w:noProof/>
        </w:rPr>
        <w:drawing>
          <wp:inline distT="0" distB="0" distL="0" distR="0" wp14:anchorId="066D636F" wp14:editId="499244DC">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7700"/>
                    </a:xfrm>
                    <a:prstGeom prst="rect">
                      <a:avLst/>
                    </a:prstGeom>
                  </pic:spPr>
                </pic:pic>
              </a:graphicData>
            </a:graphic>
          </wp:inline>
        </w:drawing>
      </w:r>
    </w:p>
    <w:p w14:paraId="46D45054" w14:textId="726C8017" w:rsidR="00CC36E8" w:rsidRDefault="00CC36E8" w:rsidP="00CF4A34">
      <w:pPr>
        <w:jc w:val="both"/>
      </w:pPr>
    </w:p>
    <w:p w14:paraId="43B2AC23" w14:textId="21A5B358" w:rsidR="00CC36E8" w:rsidRDefault="00CC36E8" w:rsidP="00CF4A34">
      <w:pPr>
        <w:jc w:val="both"/>
      </w:pPr>
    </w:p>
    <w:p w14:paraId="7AB4FF0F" w14:textId="0D5AE4BE" w:rsidR="00FC1BDE" w:rsidRDefault="00FC1BDE" w:rsidP="00CF4A34">
      <w:pPr>
        <w:jc w:val="both"/>
      </w:pPr>
    </w:p>
    <w:p w14:paraId="7305FC4D" w14:textId="77777777" w:rsidR="00FC1BDE" w:rsidRDefault="00FC1BDE" w:rsidP="00CF4A34">
      <w:pPr>
        <w:jc w:val="both"/>
      </w:pPr>
    </w:p>
    <w:p w14:paraId="308FB340" w14:textId="77777777" w:rsidR="00CC36E8" w:rsidRDefault="00CC36E8" w:rsidP="00CF4A34">
      <w:pPr>
        <w:jc w:val="both"/>
      </w:pPr>
    </w:p>
    <w:p w14:paraId="2CA867A0" w14:textId="13CAC21D" w:rsidR="00BF71BB" w:rsidRDefault="00BF71BB" w:rsidP="00CF4A34">
      <w:pPr>
        <w:jc w:val="both"/>
      </w:pPr>
      <w:r>
        <w:t xml:space="preserve">As to the movers, </w:t>
      </w:r>
      <w:r w:rsidR="001C26B0">
        <w:t xml:space="preserve">UK firms </w:t>
      </w:r>
      <w:r>
        <w:t>were ahead of the pack</w:t>
      </w:r>
      <w:r w:rsidR="001C26B0">
        <w:t>,</w:t>
      </w:r>
      <w:r w:rsidR="005D22AF">
        <w:t xml:space="preserve"> entering </w:t>
      </w:r>
      <w:r>
        <w:t xml:space="preserve">seventeen </w:t>
      </w:r>
      <w:r w:rsidR="005D22AF">
        <w:t xml:space="preserve">locations </w:t>
      </w:r>
      <w:r w:rsidR="007D4B95">
        <w:t xml:space="preserve">across Europe, as well as </w:t>
      </w:r>
      <w:r w:rsidR="00417589">
        <w:t xml:space="preserve">gaining </w:t>
      </w:r>
      <w:r w:rsidR="007D4B95">
        <w:t xml:space="preserve">new footholds in </w:t>
      </w:r>
      <w:r>
        <w:t xml:space="preserve">Asia and </w:t>
      </w:r>
      <w:r w:rsidR="007D4B95">
        <w:t>Latin America</w:t>
      </w:r>
      <w:r w:rsidR="005D22AF">
        <w:t xml:space="preserve">. </w:t>
      </w:r>
      <w:r w:rsidR="002A54F1">
        <w:t xml:space="preserve"> </w:t>
      </w:r>
      <w:r>
        <w:t>US firms were the runner-up, with eleven new launches.  We are also seeing African firms making moves on their continent (Ghana being particularly attractive), Japanese and German firms opening in London and a leading Spanish firm setting foot in Singapore.</w:t>
      </w:r>
    </w:p>
    <w:p w14:paraId="2A6DAF52" w14:textId="4CEBA4A5" w:rsidR="00BF71BB" w:rsidRDefault="00BF71BB" w:rsidP="00CF4A34">
      <w:pPr>
        <w:jc w:val="both"/>
      </w:pPr>
    </w:p>
    <w:p w14:paraId="07182F34" w14:textId="10DD8122" w:rsidR="00BF71BB" w:rsidRDefault="00BF71BB" w:rsidP="00CF4A34">
      <w:pPr>
        <w:jc w:val="both"/>
      </w:pPr>
      <w:r w:rsidRPr="00BF71BB">
        <w:rPr>
          <w:noProof/>
        </w:rPr>
        <w:drawing>
          <wp:inline distT="0" distB="0" distL="0" distR="0" wp14:anchorId="1CAFA1F0" wp14:editId="3B5D09D4">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57700"/>
                    </a:xfrm>
                    <a:prstGeom prst="rect">
                      <a:avLst/>
                    </a:prstGeom>
                  </pic:spPr>
                </pic:pic>
              </a:graphicData>
            </a:graphic>
          </wp:inline>
        </w:drawing>
      </w:r>
    </w:p>
    <w:p w14:paraId="789D6414" w14:textId="49154694" w:rsidR="00BF71BB" w:rsidRDefault="00BF71BB" w:rsidP="00CF4A34">
      <w:pPr>
        <w:jc w:val="both"/>
      </w:pPr>
    </w:p>
    <w:p w14:paraId="5D8B0168" w14:textId="77777777" w:rsidR="00B5229A" w:rsidRDefault="00F8152E" w:rsidP="00CF4A34">
      <w:pPr>
        <w:jc w:val="both"/>
      </w:pPr>
      <w:r>
        <w:t xml:space="preserve">Much more international expansion is </w:t>
      </w:r>
      <w:r w:rsidR="00C33FDB">
        <w:t>percolating</w:t>
      </w:r>
      <w:r>
        <w:t xml:space="preserve">. </w:t>
      </w:r>
      <w:r w:rsidR="00BF71BB">
        <w:t xml:space="preserve"> Singapore will continue to attract newcomers, as will Africa and the Middle East.  As to the latter, Saudi Arabia is worth watching, with the recent liberalization of rules for foreign lawyers and the government’s ambitious “Vision 2030” plan seeking to transform the country’s economy through diversification away from commodities.</w:t>
      </w:r>
    </w:p>
    <w:p w14:paraId="7FB0EBF6" w14:textId="77777777" w:rsidR="00B5229A" w:rsidRDefault="00B5229A" w:rsidP="00CF4A34">
      <w:pPr>
        <w:jc w:val="both"/>
      </w:pPr>
    </w:p>
    <w:p w14:paraId="60F51524" w14:textId="474E618D" w:rsidR="00F8152E" w:rsidRDefault="00B5229A" w:rsidP="00CF4A34">
      <w:pPr>
        <w:jc w:val="both"/>
      </w:pPr>
      <w:r>
        <w:t>We’ll keep you posted.  We are pleased and grateful to be able to continue to help our clients succeed in the global legal market.</w:t>
      </w:r>
      <w:r w:rsidR="00255C29">
        <w:t xml:space="preserve">  </w:t>
      </w:r>
      <w:r>
        <w:t xml:space="preserve"> </w:t>
      </w:r>
      <w:r w:rsidR="00F8152E">
        <w:t xml:space="preserve"> </w:t>
      </w:r>
    </w:p>
    <w:p w14:paraId="29A36404" w14:textId="3C8021FD" w:rsidR="00CF4A34" w:rsidRDefault="00FC36F1" w:rsidP="005D22AF">
      <w:pPr>
        <w:jc w:val="both"/>
      </w:pPr>
      <w:r>
        <w:t xml:space="preserve"> </w:t>
      </w:r>
    </w:p>
    <w:p w14:paraId="60CFF849" w14:textId="1ECBEA68" w:rsidR="001A6366" w:rsidRDefault="001A6366" w:rsidP="002E3949"/>
    <w:sectPr w:rsidR="001A63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A3ABA" w14:textId="77777777" w:rsidR="00C41397" w:rsidRDefault="00C41397" w:rsidP="00AB3C76">
      <w:r>
        <w:separator/>
      </w:r>
    </w:p>
  </w:endnote>
  <w:endnote w:type="continuationSeparator" w:id="0">
    <w:p w14:paraId="1C5FA1B7" w14:textId="77777777" w:rsidR="00C41397" w:rsidRDefault="00C41397" w:rsidP="00AB3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3F0D1" w14:textId="77777777" w:rsidR="00C41397" w:rsidRDefault="00C41397" w:rsidP="00AB3C76">
      <w:r>
        <w:separator/>
      </w:r>
    </w:p>
  </w:footnote>
  <w:footnote w:type="continuationSeparator" w:id="0">
    <w:p w14:paraId="30C1C8BA" w14:textId="77777777" w:rsidR="00C41397" w:rsidRDefault="00C41397" w:rsidP="00AB3C76">
      <w:r>
        <w:continuationSeparator/>
      </w:r>
    </w:p>
  </w:footnote>
  <w:footnote w:id="1">
    <w:p w14:paraId="43254E90" w14:textId="11C4F118" w:rsidR="00203D4B" w:rsidRDefault="00203D4B" w:rsidP="00FF72C7">
      <w:pPr>
        <w:pStyle w:val="FootnoteText"/>
        <w:jc w:val="both"/>
      </w:pPr>
      <w:r>
        <w:rPr>
          <w:rStyle w:val="FootnoteReference"/>
        </w:rPr>
        <w:footnoteRef/>
      </w:r>
      <w:r>
        <w:t xml:space="preserve"> </w:t>
      </w:r>
      <w:r w:rsidR="002A7500">
        <w:t>T</w:t>
      </w:r>
      <w:r>
        <w:t xml:space="preserve">he </w:t>
      </w:r>
      <w:r w:rsidR="007A2C93">
        <w:t>Global</w:t>
      </w:r>
      <w:r>
        <w:t xml:space="preserve"> Expansion </w:t>
      </w:r>
      <w:r w:rsidR="00302B31">
        <w:t>I</w:t>
      </w:r>
      <w:r>
        <w:t xml:space="preserve">ndex only tracks new entries into a particular jurisdiction.  It does not </w:t>
      </w:r>
      <w:r w:rsidR="00922E3E">
        <w:t>account for</w:t>
      </w:r>
      <w:r>
        <w:t xml:space="preserve"> expansion of an existing foreign office, or even the </w:t>
      </w:r>
      <w:r w:rsidR="00922E3E">
        <w:t xml:space="preserve">opening of </w:t>
      </w:r>
      <w:r>
        <w:t>addition</w:t>
      </w:r>
      <w:r w:rsidR="00922E3E">
        <w:t>al</w:t>
      </w:r>
      <w:r w:rsidR="00FF72C7">
        <w:t xml:space="preserve"> </w:t>
      </w:r>
      <w:r>
        <w:t>offices in a country where a law firm</w:t>
      </w:r>
      <w:r w:rsidR="00D57C9B">
        <w:t xml:space="preserve"> already has a presence</w:t>
      </w:r>
      <w:r w:rsidR="00D52E77">
        <w:t>.</w:t>
      </w:r>
      <w:r w:rsidR="008B4701">
        <w:t xml:space="preserve"> </w:t>
      </w:r>
    </w:p>
  </w:footnote>
  <w:footnote w:id="2">
    <w:p w14:paraId="770B6AC9" w14:textId="62EB4813" w:rsidR="00F62D69" w:rsidRPr="00F62D69" w:rsidRDefault="004E3D80" w:rsidP="00F62D69">
      <w:pPr>
        <w:jc w:val="both"/>
        <w:rPr>
          <w:sz w:val="20"/>
          <w:szCs w:val="20"/>
        </w:rPr>
      </w:pPr>
      <w:r>
        <w:rPr>
          <w:rStyle w:val="FootnoteReference"/>
        </w:rPr>
        <w:footnoteRef/>
      </w:r>
      <w:r>
        <w:t xml:space="preserve"> </w:t>
      </w:r>
      <w:r w:rsidR="00BF71BB">
        <w:rPr>
          <w:sz w:val="20"/>
          <w:szCs w:val="20"/>
        </w:rPr>
        <w:t>A</w:t>
      </w:r>
      <w:r w:rsidR="00F62D69" w:rsidRPr="00F62D69">
        <w:rPr>
          <w:sz w:val="20"/>
          <w:szCs w:val="20"/>
        </w:rPr>
        <w:t xml:space="preserve">s predicted in our last </w:t>
      </w:r>
      <w:r w:rsidR="00BF71BB">
        <w:rPr>
          <w:sz w:val="20"/>
          <w:szCs w:val="20"/>
        </w:rPr>
        <w:t>report</w:t>
      </w:r>
      <w:r w:rsidR="00F62D69" w:rsidRPr="00F62D69">
        <w:rPr>
          <w:sz w:val="20"/>
          <w:szCs w:val="20"/>
        </w:rPr>
        <w:t xml:space="preserve">, </w:t>
      </w:r>
      <w:r w:rsidR="00BF71BB">
        <w:rPr>
          <w:sz w:val="20"/>
          <w:szCs w:val="20"/>
        </w:rPr>
        <w:t xml:space="preserve">Seoul has popped up on the Index, with Ashurst </w:t>
      </w:r>
      <w:r w:rsidR="00F62D69" w:rsidRPr="00F62D69">
        <w:rPr>
          <w:sz w:val="20"/>
          <w:szCs w:val="20"/>
        </w:rPr>
        <w:t>launch</w:t>
      </w:r>
      <w:r w:rsidR="00BF71BB">
        <w:rPr>
          <w:sz w:val="20"/>
          <w:szCs w:val="20"/>
        </w:rPr>
        <w:t>ing</w:t>
      </w:r>
      <w:r w:rsidR="00F62D69" w:rsidRPr="00F62D69">
        <w:rPr>
          <w:sz w:val="20"/>
          <w:szCs w:val="20"/>
        </w:rPr>
        <w:t xml:space="preserve"> a pioneering joint venture in Seoul, becoming the first international firm to get permission to practice local law in Korea</w:t>
      </w:r>
      <w:r w:rsidR="00BF71BB">
        <w:rPr>
          <w:sz w:val="20"/>
          <w:szCs w:val="20"/>
        </w:rPr>
        <w:t xml:space="preserve">. </w:t>
      </w:r>
      <w:r w:rsidR="00F62D69" w:rsidRPr="00F62D69">
        <w:rPr>
          <w:sz w:val="20"/>
          <w:szCs w:val="20"/>
        </w:rPr>
        <w:t xml:space="preserve"> </w:t>
      </w:r>
      <w:r w:rsidR="00BF71BB">
        <w:rPr>
          <w:sz w:val="20"/>
          <w:szCs w:val="20"/>
        </w:rPr>
        <w:t>T</w:t>
      </w:r>
      <w:r w:rsidR="00F62D69" w:rsidRPr="00F62D69">
        <w:rPr>
          <w:sz w:val="20"/>
          <w:szCs w:val="20"/>
        </w:rPr>
        <w:t>he Dentons organization, a serial office-opener, may have cracked the India market, signing up a local affiliate</w:t>
      </w:r>
      <w:r w:rsidR="00BF71BB">
        <w:rPr>
          <w:sz w:val="20"/>
          <w:szCs w:val="20"/>
        </w:rPr>
        <w:t xml:space="preserve">. </w:t>
      </w:r>
      <w:r w:rsidR="00F62D69" w:rsidRPr="00F62D69">
        <w:rPr>
          <w:sz w:val="20"/>
          <w:szCs w:val="20"/>
        </w:rPr>
        <w:t xml:space="preserve"> KPMG (OK, it’s not a law firm but trying to be one) scooped up ZICO Law, a leading Southeast Asia regional group.  Mainland China once again attracted no comers.</w:t>
      </w:r>
    </w:p>
    <w:p w14:paraId="0C0CA905" w14:textId="77777777" w:rsidR="00F62D69" w:rsidRPr="00F62D69" w:rsidRDefault="00F62D69" w:rsidP="00F62D69">
      <w:pPr>
        <w:jc w:val="both"/>
        <w:rPr>
          <w:sz w:val="20"/>
          <w:szCs w:val="20"/>
        </w:rPr>
      </w:pPr>
    </w:p>
    <w:p w14:paraId="6FB39C8F" w14:textId="5CBCCC01" w:rsidR="004E3D80" w:rsidRDefault="004E3D80">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949"/>
    <w:rsid w:val="0000260F"/>
    <w:rsid w:val="00025E50"/>
    <w:rsid w:val="00083E10"/>
    <w:rsid w:val="00096D28"/>
    <w:rsid w:val="000D29C1"/>
    <w:rsid w:val="000F4573"/>
    <w:rsid w:val="00113FF1"/>
    <w:rsid w:val="00125798"/>
    <w:rsid w:val="00142BF6"/>
    <w:rsid w:val="0017103E"/>
    <w:rsid w:val="00172280"/>
    <w:rsid w:val="001A6366"/>
    <w:rsid w:val="001C26B0"/>
    <w:rsid w:val="00200990"/>
    <w:rsid w:val="00203D4B"/>
    <w:rsid w:val="002155A4"/>
    <w:rsid w:val="00230AC2"/>
    <w:rsid w:val="00255C29"/>
    <w:rsid w:val="0027428C"/>
    <w:rsid w:val="002A54F1"/>
    <w:rsid w:val="002A7500"/>
    <w:rsid w:val="002C0635"/>
    <w:rsid w:val="002D5641"/>
    <w:rsid w:val="002E3949"/>
    <w:rsid w:val="002F2D79"/>
    <w:rsid w:val="00302B31"/>
    <w:rsid w:val="00305C36"/>
    <w:rsid w:val="003675D6"/>
    <w:rsid w:val="00376855"/>
    <w:rsid w:val="003A00CF"/>
    <w:rsid w:val="003A017A"/>
    <w:rsid w:val="00405514"/>
    <w:rsid w:val="004162B8"/>
    <w:rsid w:val="00417589"/>
    <w:rsid w:val="00423BDC"/>
    <w:rsid w:val="0043488C"/>
    <w:rsid w:val="00436338"/>
    <w:rsid w:val="0044375F"/>
    <w:rsid w:val="00483AC7"/>
    <w:rsid w:val="004924D1"/>
    <w:rsid w:val="004A11FA"/>
    <w:rsid w:val="004C45BE"/>
    <w:rsid w:val="004D1E5A"/>
    <w:rsid w:val="004E1DF0"/>
    <w:rsid w:val="004E3D80"/>
    <w:rsid w:val="00533340"/>
    <w:rsid w:val="005549A3"/>
    <w:rsid w:val="00591778"/>
    <w:rsid w:val="0059405B"/>
    <w:rsid w:val="005942F0"/>
    <w:rsid w:val="005A406E"/>
    <w:rsid w:val="005B36F8"/>
    <w:rsid w:val="005D22AF"/>
    <w:rsid w:val="00605A0B"/>
    <w:rsid w:val="00630A75"/>
    <w:rsid w:val="00644B16"/>
    <w:rsid w:val="00646C77"/>
    <w:rsid w:val="006472F7"/>
    <w:rsid w:val="00691C57"/>
    <w:rsid w:val="006D0FEA"/>
    <w:rsid w:val="006D39F9"/>
    <w:rsid w:val="00705158"/>
    <w:rsid w:val="0072604E"/>
    <w:rsid w:val="0076471B"/>
    <w:rsid w:val="00767E85"/>
    <w:rsid w:val="007A09FE"/>
    <w:rsid w:val="007A2C93"/>
    <w:rsid w:val="007B5C19"/>
    <w:rsid w:val="007D4B95"/>
    <w:rsid w:val="007D5991"/>
    <w:rsid w:val="0080667C"/>
    <w:rsid w:val="00813C7B"/>
    <w:rsid w:val="008242AC"/>
    <w:rsid w:val="00847F38"/>
    <w:rsid w:val="00894587"/>
    <w:rsid w:val="008B4701"/>
    <w:rsid w:val="008C36A7"/>
    <w:rsid w:val="008D6F84"/>
    <w:rsid w:val="0092200B"/>
    <w:rsid w:val="00922E3E"/>
    <w:rsid w:val="009468DA"/>
    <w:rsid w:val="00986FE0"/>
    <w:rsid w:val="009F3E0C"/>
    <w:rsid w:val="00A06963"/>
    <w:rsid w:val="00A54081"/>
    <w:rsid w:val="00A574F8"/>
    <w:rsid w:val="00A608CA"/>
    <w:rsid w:val="00A619C8"/>
    <w:rsid w:val="00A65235"/>
    <w:rsid w:val="00AA09DF"/>
    <w:rsid w:val="00AB2AD9"/>
    <w:rsid w:val="00AB3C76"/>
    <w:rsid w:val="00AC4BEF"/>
    <w:rsid w:val="00B03BA1"/>
    <w:rsid w:val="00B0516C"/>
    <w:rsid w:val="00B071F2"/>
    <w:rsid w:val="00B2741A"/>
    <w:rsid w:val="00B40F74"/>
    <w:rsid w:val="00B42902"/>
    <w:rsid w:val="00B508F7"/>
    <w:rsid w:val="00B5229A"/>
    <w:rsid w:val="00B52DDD"/>
    <w:rsid w:val="00B53A91"/>
    <w:rsid w:val="00B728D6"/>
    <w:rsid w:val="00B80ECB"/>
    <w:rsid w:val="00B85A1F"/>
    <w:rsid w:val="00B8762B"/>
    <w:rsid w:val="00BD79B3"/>
    <w:rsid w:val="00BF71BB"/>
    <w:rsid w:val="00C33FDB"/>
    <w:rsid w:val="00C40833"/>
    <w:rsid w:val="00C41397"/>
    <w:rsid w:val="00C44412"/>
    <w:rsid w:val="00C77009"/>
    <w:rsid w:val="00CA2D51"/>
    <w:rsid w:val="00CC36E8"/>
    <w:rsid w:val="00CE75E4"/>
    <w:rsid w:val="00CF4A34"/>
    <w:rsid w:val="00D52E77"/>
    <w:rsid w:val="00D57C9B"/>
    <w:rsid w:val="00D727CD"/>
    <w:rsid w:val="00D77437"/>
    <w:rsid w:val="00D9545A"/>
    <w:rsid w:val="00D96809"/>
    <w:rsid w:val="00DC3E0D"/>
    <w:rsid w:val="00DC7ADA"/>
    <w:rsid w:val="00DD5D1B"/>
    <w:rsid w:val="00E42076"/>
    <w:rsid w:val="00E5056A"/>
    <w:rsid w:val="00E7599E"/>
    <w:rsid w:val="00E95E8B"/>
    <w:rsid w:val="00EC1E96"/>
    <w:rsid w:val="00F555E8"/>
    <w:rsid w:val="00F6290E"/>
    <w:rsid w:val="00F62D69"/>
    <w:rsid w:val="00F80C43"/>
    <w:rsid w:val="00F8152E"/>
    <w:rsid w:val="00F82588"/>
    <w:rsid w:val="00F84A63"/>
    <w:rsid w:val="00F86FA7"/>
    <w:rsid w:val="00F91AF4"/>
    <w:rsid w:val="00FC00ED"/>
    <w:rsid w:val="00FC1BDE"/>
    <w:rsid w:val="00FC36F1"/>
    <w:rsid w:val="00FE586B"/>
    <w:rsid w:val="00FF7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2A5F98"/>
  <w15:chartTrackingRefBased/>
  <w15:docId w15:val="{6B676B3B-5722-3D49-AE78-B56B8525B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B3C76"/>
    <w:rPr>
      <w:sz w:val="20"/>
      <w:szCs w:val="20"/>
    </w:rPr>
  </w:style>
  <w:style w:type="character" w:customStyle="1" w:styleId="FootnoteTextChar">
    <w:name w:val="Footnote Text Char"/>
    <w:basedOn w:val="DefaultParagraphFont"/>
    <w:link w:val="FootnoteText"/>
    <w:uiPriority w:val="99"/>
    <w:semiHidden/>
    <w:rsid w:val="00AB3C76"/>
    <w:rPr>
      <w:sz w:val="20"/>
      <w:szCs w:val="20"/>
    </w:rPr>
  </w:style>
  <w:style w:type="character" w:styleId="FootnoteReference">
    <w:name w:val="footnote reference"/>
    <w:basedOn w:val="DefaultParagraphFont"/>
    <w:uiPriority w:val="99"/>
    <w:semiHidden/>
    <w:unhideWhenUsed/>
    <w:rsid w:val="00AB3C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7F51F-74DA-7549-B697-75AAB7862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4</Pages>
  <Words>344</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 Bata</dc:creator>
  <cp:keywords/>
  <dc:description/>
  <cp:lastModifiedBy>Robert C. Bata</cp:lastModifiedBy>
  <cp:revision>12</cp:revision>
  <cp:lastPrinted>2021-10-01T15:36:00Z</cp:lastPrinted>
  <dcterms:created xsi:type="dcterms:W3CDTF">2022-12-30T19:05:00Z</dcterms:created>
  <dcterms:modified xsi:type="dcterms:W3CDTF">2023-01-05T16:54:00Z</dcterms:modified>
</cp:coreProperties>
</file>